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/>
          <w:bCs/>
          <w:i/>
          <w:iCs/>
          <w:color w:val="404040" w:themeColor="text1" w:themeTint="BF"/>
          <w:kern w:val="24"/>
          <w:sz w:val="28"/>
          <w:szCs w:val="28"/>
          <w:u w:val="single"/>
        </w:rPr>
        <w:t xml:space="preserve">Маркёры суицидального </w:t>
      </w:r>
      <w:proofErr w:type="gramStart"/>
      <w:r w:rsidRPr="00D42BDA">
        <w:rPr>
          <w:rFonts w:eastAsiaTheme="minorEastAsia"/>
          <w:b/>
          <w:bCs/>
          <w:i/>
          <w:iCs/>
          <w:color w:val="404040" w:themeColor="text1" w:themeTint="BF"/>
          <w:kern w:val="24"/>
          <w:sz w:val="28"/>
          <w:szCs w:val="28"/>
          <w:u w:val="single"/>
        </w:rPr>
        <w:t>поведения  (</w:t>
      </w:r>
      <w:proofErr w:type="gramEnd"/>
      <w:r w:rsidRPr="00D42BDA">
        <w:rPr>
          <w:rFonts w:eastAsiaTheme="minorEastAsia"/>
          <w:b/>
          <w:bCs/>
          <w:i/>
          <w:iCs/>
          <w:color w:val="404040" w:themeColor="text1" w:themeTint="BF"/>
          <w:kern w:val="24"/>
          <w:sz w:val="28"/>
          <w:szCs w:val="28"/>
          <w:u w:val="single"/>
        </w:rPr>
        <w:t>сигналы) 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-  Прямое устное сообщение: когда человек открыто выражает свои мысли или планы в отношении суицида. Сообщение друзьям о п</w:t>
      </w:r>
      <w:r w:rsidR="00D42BDA"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ринятии решения о самоубийстве в</w:t>
      </w:r>
      <w:r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ысказывания о нежелании жить:</w:t>
      </w:r>
      <w:r w:rsidR="00D42BDA"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 xml:space="preserve"> </w:t>
      </w:r>
      <w:r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«Было бы лучше умереть», «Не хочу больше жить», «Я больше не буду ни для кого проблемой</w:t>
      </w:r>
      <w:proofErr w:type="gramStart"/>
      <w:r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»,  «</w:t>
      </w:r>
      <w:proofErr w:type="gramEnd"/>
      <w:r w:rsidRPr="00D42BDA">
        <w:rPr>
          <w:rFonts w:eastAsiaTheme="minorEastAsia"/>
          <w:bCs/>
          <w:i/>
          <w:iCs/>
          <w:color w:val="404040" w:themeColor="text1" w:themeTint="BF"/>
          <w:kern w:val="24"/>
          <w:sz w:val="28"/>
          <w:szCs w:val="28"/>
        </w:rPr>
        <w:t>Тебе больше не придётся обо мне волноваться», « Мне нельзя помочь»;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- Косвенное устное сообщение: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 подростки не так явно делятся своими   </w:t>
      </w:r>
      <w:proofErr w:type="gramStart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мыслями  (</w:t>
      </w:r>
      <w:proofErr w:type="gramEnd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«Я так больше не могу»),  фиксация на теме смерти в литературе и живописи, частые разговоры об этом, сбор информации о способах суицида и их соотношение;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- Прямое невербальное информирование: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 активная предварительная подготовка к выбранному способу совершения суицида (например, приобретение лекарств, хранение отравляющих веществ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- Косвенное невербальное сообщение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 (например, внезапное, без     видимой причины, завершение планов, символическое прощание с ближайшим окружением (раздача личных вещей, фото, подготовка и выставление ролика, посвящённого друзьям и близким); дарение другим вещей, имеющим большую личную значимость; примирение с </w:t>
      </w:r>
      <w:proofErr w:type="gramStart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давними  врагами</w:t>
      </w:r>
      <w:proofErr w:type="gramEnd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 ;  помещение своей фотографии в чёрную рамку, появление среди сверстников с петлёй на шее из подручных средств;   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-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 Раздражительность, угрюмость, подавленное настроение, проявление признаков страха, беспомощности, безнадёжности, отчаяния; чувство одиночества («меня никто не понимает», «я никому не нужен»), сложности контролирования эмоций, внезапная смена эмоций,</w:t>
      </w: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 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потеря перспективы будущего</w:t>
      </w:r>
    </w:p>
    <w:p w:rsidR="00170028" w:rsidRPr="00D42BDA" w:rsidRDefault="00170028" w:rsidP="00D42BDA">
      <w:pPr>
        <w:pStyle w:val="a3"/>
        <w:textAlignment w:val="top"/>
        <w:rPr>
          <w:color w:val="A53010"/>
          <w:sz w:val="28"/>
          <w:szCs w:val="28"/>
        </w:rPr>
      </w:pPr>
      <w:r w:rsidRPr="00D42BDA">
        <w:rPr>
          <w:rFonts w:eastAsiaTheme="minorEastAsia"/>
          <w:b/>
          <w:bCs/>
          <w:color w:val="404040" w:themeColor="text1" w:themeTint="BF"/>
          <w:kern w:val="24"/>
          <w:sz w:val="28"/>
          <w:szCs w:val="28"/>
        </w:rPr>
        <w:t>-</w:t>
      </w:r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 xml:space="preserve"> Необычное, нехарактерное для данного человека поведение. В том числе, более безрассудное, импульсивное, агрессивное, </w:t>
      </w:r>
      <w:proofErr w:type="gramStart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антисоциальное</w:t>
      </w:r>
      <w:proofErr w:type="gramEnd"/>
      <w:r w:rsidRPr="00D42BDA">
        <w:rPr>
          <w:rFonts w:eastAsiaTheme="minorEastAsia"/>
          <w:color w:val="404040" w:themeColor="text1" w:themeTint="BF"/>
          <w:kern w:val="24"/>
          <w:sz w:val="28"/>
          <w:szCs w:val="28"/>
        </w:rPr>
        <w:t>, несвойственное стремление к уединению (закрыться в комнате, убежать и скрыться от друзей); стремление к рискованным действиям, отрицание проблем;</w:t>
      </w:r>
    </w:p>
    <w:p w:rsidR="00170028" w:rsidRPr="00D42BDA" w:rsidRDefault="00170028" w:rsidP="00D42BDA">
      <w:pPr>
        <w:ind w:left="360"/>
        <w:textAlignment w:val="top"/>
        <w:rPr>
          <w:rFonts w:ascii="Times New Roman" w:hAnsi="Times New Roman" w:cs="Times New Roman"/>
          <w:color w:val="A53010"/>
          <w:sz w:val="28"/>
          <w:szCs w:val="28"/>
        </w:rPr>
      </w:pPr>
      <w:r w:rsidRPr="00D42BD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  <w:t>-</w:t>
      </w:r>
      <w:r w:rsidRPr="00D42BDA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 снижение успеваемости, пропуск занятий, невыполнение домашних заданий; стойкая тяга к прослу</w:t>
      </w:r>
      <w:r w:rsidR="00D42BDA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шиванию грустной музыки и песен.</w:t>
      </w:r>
      <w:bookmarkStart w:id="0" w:name="_GoBack"/>
      <w:bookmarkEnd w:id="0"/>
    </w:p>
    <w:sectPr w:rsidR="00170028" w:rsidRPr="00D4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F394D"/>
    <w:multiLevelType w:val="hybridMultilevel"/>
    <w:tmpl w:val="F11456D2"/>
    <w:lvl w:ilvl="0" w:tplc="166C97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CE7B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967F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DE29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3E4B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6095A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7C80F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DC5E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A2B6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29E046C"/>
    <w:multiLevelType w:val="hybridMultilevel"/>
    <w:tmpl w:val="9E5842DE"/>
    <w:lvl w:ilvl="0" w:tplc="C8305C5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B0C9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9C9E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45E3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AA04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4A79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E804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0A77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4019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3B61BC5"/>
    <w:multiLevelType w:val="hybridMultilevel"/>
    <w:tmpl w:val="F628E10C"/>
    <w:lvl w:ilvl="0" w:tplc="2B2243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3425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9036D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94E6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74D4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649B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08E7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0042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A37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170028"/>
    <w:rsid w:val="00884858"/>
    <w:rsid w:val="00B2044E"/>
    <w:rsid w:val="00D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561A1-6576-4A6C-854F-82C2527E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8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1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2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2019-02-04T07:45:00Z</dcterms:created>
  <dcterms:modified xsi:type="dcterms:W3CDTF">2019-02-11T06:30:00Z</dcterms:modified>
</cp:coreProperties>
</file>